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7D" w:rsidRPr="000D0F03" w:rsidRDefault="005D0ABD" w:rsidP="001F6EF3">
      <w:pPr>
        <w:jc w:val="center"/>
        <w:rPr>
          <w:b/>
        </w:rPr>
      </w:pPr>
      <w:r w:rsidRPr="000D0F03">
        <w:rPr>
          <w:b/>
        </w:rPr>
        <w:t xml:space="preserve">        </w:t>
      </w:r>
      <w:r w:rsidR="002B0A0D">
        <w:rPr>
          <w:b/>
        </w:rPr>
        <w:t>Aging Together Board of Directors</w:t>
      </w:r>
      <w:r w:rsidR="001F0B14" w:rsidRPr="000D0F03">
        <w:rPr>
          <w:b/>
        </w:rPr>
        <w:t xml:space="preserve"> </w:t>
      </w:r>
    </w:p>
    <w:p w:rsidR="001F6EF3" w:rsidRPr="000D0F03" w:rsidRDefault="00AE2CB1" w:rsidP="005D0ABD">
      <w:pPr>
        <w:ind w:left="720"/>
        <w:jc w:val="center"/>
        <w:rPr>
          <w:b/>
        </w:rPr>
      </w:pPr>
      <w:r>
        <w:rPr>
          <w:b/>
        </w:rPr>
        <w:t xml:space="preserve">Annual </w:t>
      </w:r>
      <w:r w:rsidR="005451AD" w:rsidRPr="000D0F03">
        <w:rPr>
          <w:b/>
        </w:rPr>
        <w:t>Meeting</w:t>
      </w:r>
      <w:r w:rsidR="00B1165E" w:rsidRPr="000D0F03">
        <w:rPr>
          <w:b/>
        </w:rPr>
        <w:t xml:space="preserve"> </w:t>
      </w:r>
      <w:r w:rsidR="00953364" w:rsidRPr="000D0F03">
        <w:rPr>
          <w:b/>
        </w:rPr>
        <w:t>Minutes</w:t>
      </w:r>
      <w:r w:rsidR="005500C3" w:rsidRPr="000D0F03">
        <w:rPr>
          <w:b/>
        </w:rPr>
        <w:t xml:space="preserve"> </w:t>
      </w:r>
      <w:r w:rsidR="00664BF3">
        <w:rPr>
          <w:b/>
        </w:rPr>
        <w:t xml:space="preserve"> - </w:t>
      </w:r>
      <w:r w:rsidR="00885701">
        <w:rPr>
          <w:b/>
        </w:rPr>
        <w:t>January 10, 2014</w:t>
      </w:r>
    </w:p>
    <w:p w:rsidR="001F6EF3" w:rsidRPr="000D0F03" w:rsidRDefault="001F6EF3" w:rsidP="001F6EF3"/>
    <w:p w:rsidR="0074027E" w:rsidRDefault="00AE2CB1" w:rsidP="001F6EF3">
      <w:r>
        <w:rPr>
          <w:b/>
          <w:u w:val="single"/>
        </w:rPr>
        <w:t>Board Members Present:</w:t>
      </w:r>
      <w:r w:rsidR="002D0362">
        <w:rPr>
          <w:b/>
          <w:u w:val="single"/>
        </w:rPr>
        <w:t xml:space="preserve"> </w:t>
      </w:r>
      <w:r w:rsidR="00527F4B">
        <w:t xml:space="preserve"> Bob Lingo, Sallie Morgan, Ray Parks, Jack Garber, Brian Duncan, </w:t>
      </w:r>
      <w:r w:rsidR="001A5C90">
        <w:t>Bev Dunford</w:t>
      </w:r>
      <w:r w:rsidR="00C61077">
        <w:t xml:space="preserve">       </w:t>
      </w:r>
      <w:r w:rsidR="0074027E" w:rsidRPr="0074027E">
        <w:rPr>
          <w:b/>
          <w:u w:val="single"/>
        </w:rPr>
        <w:t>Staff Present:</w:t>
      </w:r>
      <w:r w:rsidR="0074027E">
        <w:t xml:space="preserve">  Chris Miller</w:t>
      </w:r>
    </w:p>
    <w:p w:rsidR="006A7CB2" w:rsidRPr="000D0F03" w:rsidRDefault="006A7CB2" w:rsidP="001F6EF3"/>
    <w:tbl>
      <w:tblPr>
        <w:tblW w:w="1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7830"/>
        <w:gridCol w:w="1890"/>
        <w:gridCol w:w="1455"/>
      </w:tblGrid>
      <w:tr w:rsidR="008B7DD6" w:rsidRPr="000D0F03" w:rsidTr="002D0362">
        <w:trPr>
          <w:trHeight w:val="268"/>
        </w:trPr>
        <w:tc>
          <w:tcPr>
            <w:tcW w:w="2988" w:type="dxa"/>
          </w:tcPr>
          <w:p w:rsidR="00D46582" w:rsidRPr="000D0F03" w:rsidRDefault="00D46582" w:rsidP="008D72F5">
            <w:pPr>
              <w:jc w:val="center"/>
              <w:rPr>
                <w:b/>
              </w:rPr>
            </w:pPr>
            <w:r w:rsidRPr="000D0F03">
              <w:rPr>
                <w:b/>
              </w:rPr>
              <w:t>AGENDA ITEM</w:t>
            </w:r>
          </w:p>
        </w:tc>
        <w:tc>
          <w:tcPr>
            <w:tcW w:w="7830" w:type="dxa"/>
          </w:tcPr>
          <w:p w:rsidR="00D46582" w:rsidRPr="000D0F03" w:rsidRDefault="00D46582" w:rsidP="008D72F5">
            <w:pPr>
              <w:jc w:val="center"/>
              <w:rPr>
                <w:b/>
              </w:rPr>
            </w:pPr>
            <w:r w:rsidRPr="000D0F03">
              <w:rPr>
                <w:b/>
              </w:rPr>
              <w:t>DISCUSSION</w:t>
            </w:r>
          </w:p>
        </w:tc>
        <w:tc>
          <w:tcPr>
            <w:tcW w:w="1890" w:type="dxa"/>
          </w:tcPr>
          <w:p w:rsidR="00D46582" w:rsidRPr="000D0F03" w:rsidRDefault="00C35B7F" w:rsidP="008D72F5">
            <w:pPr>
              <w:jc w:val="center"/>
              <w:rPr>
                <w:b/>
              </w:rPr>
            </w:pPr>
            <w:r w:rsidRPr="000D0F03">
              <w:rPr>
                <w:b/>
              </w:rPr>
              <w:t>ACTION</w:t>
            </w:r>
          </w:p>
        </w:tc>
        <w:tc>
          <w:tcPr>
            <w:tcW w:w="1455" w:type="dxa"/>
          </w:tcPr>
          <w:p w:rsidR="00D46582" w:rsidRPr="000D0F03" w:rsidRDefault="00D46582" w:rsidP="008D72F5">
            <w:pPr>
              <w:jc w:val="center"/>
              <w:rPr>
                <w:b/>
              </w:rPr>
            </w:pPr>
            <w:r w:rsidRPr="000D0F03">
              <w:rPr>
                <w:b/>
              </w:rPr>
              <w:t>WHO</w:t>
            </w:r>
          </w:p>
        </w:tc>
      </w:tr>
      <w:tr w:rsidR="008B7DD6" w:rsidRPr="000D0F03" w:rsidTr="002D0362">
        <w:trPr>
          <w:trHeight w:val="135"/>
        </w:trPr>
        <w:tc>
          <w:tcPr>
            <w:tcW w:w="2988" w:type="dxa"/>
          </w:tcPr>
          <w:p w:rsidR="00D46582" w:rsidRPr="000D0F03" w:rsidRDefault="002D0362" w:rsidP="008D72F5">
            <w:pPr>
              <w:rPr>
                <w:b/>
              </w:rPr>
            </w:pPr>
            <w:r>
              <w:rPr>
                <w:b/>
              </w:rPr>
              <w:t>Review of Agenda/Approval of Minutes</w:t>
            </w:r>
          </w:p>
        </w:tc>
        <w:tc>
          <w:tcPr>
            <w:tcW w:w="7830" w:type="dxa"/>
          </w:tcPr>
          <w:p w:rsidR="00527F4B" w:rsidRPr="000D0F03" w:rsidRDefault="00527F4B" w:rsidP="001A5C90">
            <w:r>
              <w:t xml:space="preserve">Review of November Board meeting minutes.  </w:t>
            </w:r>
            <w:r w:rsidR="001A5C90">
              <w:t>Motion by Bob Lingo, second by Jack Garber to accept the minutes.  Approved unanimously.</w:t>
            </w:r>
            <w:r>
              <w:t xml:space="preserve">  </w:t>
            </w:r>
          </w:p>
        </w:tc>
        <w:tc>
          <w:tcPr>
            <w:tcW w:w="1890" w:type="dxa"/>
          </w:tcPr>
          <w:p w:rsidR="00527F4B" w:rsidRPr="000D0F03" w:rsidRDefault="00527F4B" w:rsidP="008D72F5"/>
        </w:tc>
        <w:tc>
          <w:tcPr>
            <w:tcW w:w="1455" w:type="dxa"/>
          </w:tcPr>
          <w:p w:rsidR="00527F4B" w:rsidRPr="000D0F03" w:rsidRDefault="00527F4B" w:rsidP="008D72F5"/>
        </w:tc>
      </w:tr>
      <w:tr w:rsidR="000F59AF" w:rsidRPr="000D0F03" w:rsidTr="002D0362">
        <w:trPr>
          <w:trHeight w:val="394"/>
        </w:trPr>
        <w:tc>
          <w:tcPr>
            <w:tcW w:w="2988" w:type="dxa"/>
          </w:tcPr>
          <w:p w:rsidR="000F59AF" w:rsidRPr="000D0F03" w:rsidRDefault="002D0362" w:rsidP="005A7573">
            <w:pPr>
              <w:rPr>
                <w:b/>
              </w:rPr>
            </w:pPr>
            <w:r>
              <w:rPr>
                <w:b/>
              </w:rPr>
              <w:t>Treasurer’s Report</w:t>
            </w:r>
          </w:p>
        </w:tc>
        <w:tc>
          <w:tcPr>
            <w:tcW w:w="7830" w:type="dxa"/>
          </w:tcPr>
          <w:p w:rsidR="009D03CA" w:rsidRDefault="009D03CA" w:rsidP="001A5C90">
            <w:r>
              <w:t xml:space="preserve">Treasurer Brian Duncan provided financial reports through </w:t>
            </w:r>
            <w:r w:rsidR="001A5C90">
              <w:t>November</w:t>
            </w:r>
            <w:r>
              <w:t xml:space="preserve"> 2013.  </w:t>
            </w:r>
            <w:r w:rsidR="001A5C90">
              <w:t xml:space="preserve">The financials are now provided in cash accrual format.  Chris Miller reviewed </w:t>
            </w:r>
            <w:r w:rsidR="007B3C28">
              <w:t xml:space="preserve">income and expense items by category.  Board members found this format much better in terms of tracking AT financial status.  </w:t>
            </w:r>
            <w:r>
              <w:t xml:space="preserve"> </w:t>
            </w:r>
          </w:p>
          <w:p w:rsidR="009D03CA" w:rsidRDefault="009D03CA" w:rsidP="009D03CA"/>
          <w:p w:rsidR="009D03CA" w:rsidRDefault="009D03CA" w:rsidP="009D03CA">
            <w:r>
              <w:t xml:space="preserve">Motion by </w:t>
            </w:r>
            <w:r w:rsidR="007B3C28">
              <w:t>Jack Garber</w:t>
            </w:r>
            <w:r>
              <w:t xml:space="preserve">, second by </w:t>
            </w:r>
            <w:r w:rsidR="007B3C28">
              <w:t>Bob Lingo</w:t>
            </w:r>
            <w:r>
              <w:t xml:space="preserve"> to accept the financial reports </w:t>
            </w:r>
            <w:r w:rsidR="007B3C28">
              <w:t>as presented</w:t>
            </w:r>
            <w:r>
              <w:t>.  Approved unanimously.</w:t>
            </w:r>
          </w:p>
          <w:p w:rsidR="00664BF3" w:rsidRPr="00920025" w:rsidRDefault="00664BF3" w:rsidP="00664BF3">
            <w:pPr>
              <w:pStyle w:val="ListParagraph"/>
              <w:ind w:left="360"/>
            </w:pPr>
          </w:p>
        </w:tc>
        <w:tc>
          <w:tcPr>
            <w:tcW w:w="1890" w:type="dxa"/>
          </w:tcPr>
          <w:p w:rsidR="0024737B" w:rsidRPr="000D0F03" w:rsidRDefault="0024737B" w:rsidP="000D32C1"/>
        </w:tc>
        <w:tc>
          <w:tcPr>
            <w:tcW w:w="1455" w:type="dxa"/>
          </w:tcPr>
          <w:p w:rsidR="005C451D" w:rsidRPr="000D0F03" w:rsidRDefault="005C451D" w:rsidP="00F12D4D"/>
        </w:tc>
      </w:tr>
      <w:tr w:rsidR="00F41A92" w:rsidRPr="000D0F03" w:rsidTr="002D0362">
        <w:trPr>
          <w:trHeight w:val="394"/>
        </w:trPr>
        <w:tc>
          <w:tcPr>
            <w:tcW w:w="2988" w:type="dxa"/>
          </w:tcPr>
          <w:p w:rsidR="00F41A92" w:rsidRDefault="009D03CA" w:rsidP="002D13D5">
            <w:pPr>
              <w:rPr>
                <w:b/>
              </w:rPr>
            </w:pPr>
            <w:r>
              <w:rPr>
                <w:b/>
              </w:rPr>
              <w:t>Development</w:t>
            </w:r>
          </w:p>
        </w:tc>
        <w:tc>
          <w:tcPr>
            <w:tcW w:w="7830" w:type="dxa"/>
          </w:tcPr>
          <w:p w:rsidR="00C61077" w:rsidRPr="007B3C28" w:rsidRDefault="007B3C28" w:rsidP="00C61077">
            <w:pPr>
              <w:rPr>
                <w:b/>
              </w:rPr>
            </w:pPr>
            <w:r w:rsidRPr="007B3C28">
              <w:rPr>
                <w:b/>
              </w:rPr>
              <w:t>May Fundraiser</w:t>
            </w:r>
          </w:p>
          <w:p w:rsidR="007B3C28" w:rsidRDefault="007B3C28" w:rsidP="007B3C28">
            <w:pPr>
              <w:pStyle w:val="ListParagraph"/>
              <w:numPr>
                <w:ilvl w:val="0"/>
                <w:numId w:val="45"/>
              </w:numPr>
            </w:pPr>
            <w:r>
              <w:t xml:space="preserve">Discussed Honorees for the event and confirmed Jean Kane (Madison), Dr. Merrick (Orange).  Discussion of additional nominees for Culpeper and Fauquier.  </w:t>
            </w:r>
          </w:p>
          <w:p w:rsidR="007B3C28" w:rsidRDefault="007B3C28" w:rsidP="007B3C28">
            <w:pPr>
              <w:pStyle w:val="ListParagraph"/>
              <w:numPr>
                <w:ilvl w:val="0"/>
                <w:numId w:val="45"/>
              </w:numPr>
            </w:pPr>
            <w:r>
              <w:t xml:space="preserve">Discussed partnering with Blue Ridge Chorale for entertainment at the event.  </w:t>
            </w:r>
          </w:p>
          <w:p w:rsidR="007B3C28" w:rsidRDefault="007B3C28" w:rsidP="007B3C28">
            <w:pPr>
              <w:pStyle w:val="ListParagraph"/>
              <w:ind w:left="360"/>
            </w:pPr>
          </w:p>
          <w:p w:rsidR="007B3C28" w:rsidRDefault="007B3C28" w:rsidP="007B3C28">
            <w:pPr>
              <w:rPr>
                <w:b/>
              </w:rPr>
            </w:pPr>
            <w:r w:rsidRPr="007B3C28">
              <w:rPr>
                <w:b/>
              </w:rPr>
              <w:t>Annual Appeal</w:t>
            </w:r>
          </w:p>
          <w:p w:rsidR="007B3C28" w:rsidRDefault="007B3C28" w:rsidP="007B3C28">
            <w:pPr>
              <w:pStyle w:val="ListParagraph"/>
              <w:numPr>
                <w:ilvl w:val="0"/>
                <w:numId w:val="46"/>
              </w:numPr>
            </w:pPr>
            <w:r>
              <w:t xml:space="preserve">As of this date the appeal letter has brought in $1500 and cost approximately $500.  Next year need to assure letter gets out earlier.  </w:t>
            </w:r>
          </w:p>
          <w:p w:rsidR="007B3C28" w:rsidRDefault="007B3C28" w:rsidP="007B3C28">
            <w:pPr>
              <w:pStyle w:val="ListParagraph"/>
              <w:numPr>
                <w:ilvl w:val="0"/>
                <w:numId w:val="46"/>
              </w:numPr>
            </w:pPr>
            <w:r>
              <w:t xml:space="preserve">Board members were given thank you cards to send to donors from their counties.  </w:t>
            </w:r>
          </w:p>
          <w:p w:rsidR="007B3C28" w:rsidRPr="007B3C28" w:rsidRDefault="007B3C28" w:rsidP="007B3C28">
            <w:pPr>
              <w:rPr>
                <w:b/>
              </w:rPr>
            </w:pPr>
          </w:p>
        </w:tc>
        <w:tc>
          <w:tcPr>
            <w:tcW w:w="1890" w:type="dxa"/>
          </w:tcPr>
          <w:p w:rsidR="00C61077" w:rsidRDefault="007B3C28" w:rsidP="00442FCE">
            <w:r>
              <w:t>Finalize Honorees at Feb Meeting</w:t>
            </w:r>
          </w:p>
          <w:p w:rsidR="007B3C28" w:rsidRDefault="007B3C28" w:rsidP="00442FCE"/>
          <w:p w:rsidR="007B3C28" w:rsidRDefault="007B3C28" w:rsidP="00442FCE">
            <w:r>
              <w:t>Confirm w/Blue Ridge Chorale</w:t>
            </w:r>
          </w:p>
        </w:tc>
        <w:tc>
          <w:tcPr>
            <w:tcW w:w="1455" w:type="dxa"/>
          </w:tcPr>
          <w:p w:rsidR="00C61077" w:rsidRDefault="007B3C28" w:rsidP="00F12D4D">
            <w:r>
              <w:t>Board Members</w:t>
            </w:r>
          </w:p>
          <w:p w:rsidR="007B3C28" w:rsidRDefault="007B3C28" w:rsidP="00F12D4D"/>
          <w:p w:rsidR="007B3C28" w:rsidRDefault="007B3C28" w:rsidP="00F12D4D"/>
          <w:p w:rsidR="007B3C28" w:rsidRDefault="007B3C28" w:rsidP="00F12D4D">
            <w:r>
              <w:t>Chris Miller</w:t>
            </w:r>
          </w:p>
        </w:tc>
      </w:tr>
      <w:tr w:rsidR="003972D6" w:rsidRPr="000D0F03" w:rsidTr="002D0362">
        <w:trPr>
          <w:trHeight w:val="394"/>
        </w:trPr>
        <w:tc>
          <w:tcPr>
            <w:tcW w:w="2988" w:type="dxa"/>
          </w:tcPr>
          <w:p w:rsidR="003972D6" w:rsidRDefault="003972D6" w:rsidP="002D13D5">
            <w:pPr>
              <w:rPr>
                <w:b/>
              </w:rPr>
            </w:pPr>
            <w:r>
              <w:rPr>
                <w:b/>
              </w:rPr>
              <w:t>Director Report</w:t>
            </w:r>
          </w:p>
        </w:tc>
        <w:tc>
          <w:tcPr>
            <w:tcW w:w="7830" w:type="dxa"/>
          </w:tcPr>
          <w:p w:rsidR="001B60DF" w:rsidRDefault="00C61077" w:rsidP="00C61077">
            <w:r>
              <w:t>Chris provided updates including:</w:t>
            </w:r>
          </w:p>
          <w:p w:rsidR="00C61077" w:rsidRDefault="00C61077" w:rsidP="00C61077">
            <w:pPr>
              <w:pStyle w:val="ListParagraph"/>
              <w:numPr>
                <w:ilvl w:val="0"/>
                <w:numId w:val="44"/>
              </w:numPr>
            </w:pPr>
            <w:r>
              <w:t xml:space="preserve"> </w:t>
            </w:r>
            <w:r w:rsidR="007B3C28">
              <w:t>Hiring of the</w:t>
            </w:r>
            <w:r>
              <w:t xml:space="preserve"> CRS </w:t>
            </w:r>
            <w:r w:rsidR="007B3C28">
              <w:t xml:space="preserve">Dianna Banks </w:t>
            </w:r>
            <w:r>
              <w:t xml:space="preserve">and </w:t>
            </w:r>
            <w:r w:rsidR="007B3C28">
              <w:t>Live Well</w:t>
            </w:r>
            <w:r>
              <w:t xml:space="preserve"> Coordinator</w:t>
            </w:r>
            <w:r w:rsidR="007B3C28">
              <w:t xml:space="preserve"> Kristin Stobo</w:t>
            </w:r>
          </w:p>
          <w:p w:rsidR="00D571A3" w:rsidRDefault="00D571A3" w:rsidP="00C61077">
            <w:pPr>
              <w:pStyle w:val="ListParagraph"/>
              <w:numPr>
                <w:ilvl w:val="0"/>
                <w:numId w:val="44"/>
              </w:numPr>
            </w:pPr>
            <w:r>
              <w:t>CNE Survey Course to develop evaluation tools – Chris and Dianna attending</w:t>
            </w:r>
          </w:p>
          <w:p w:rsidR="00D571A3" w:rsidRDefault="00D571A3" w:rsidP="00D571A3">
            <w:pPr>
              <w:pStyle w:val="ListParagraph"/>
            </w:pPr>
          </w:p>
          <w:p w:rsidR="00DD166B" w:rsidRDefault="007B3C28" w:rsidP="00D571A3">
            <w:r>
              <w:t xml:space="preserve">Grants Status:  See </w:t>
            </w:r>
            <w:r w:rsidR="00D571A3">
              <w:t>Report below</w:t>
            </w:r>
            <w:r>
              <w:t>.</w:t>
            </w:r>
            <w:r w:rsidR="00DD166B">
              <w:t xml:space="preserve">  </w:t>
            </w:r>
          </w:p>
        </w:tc>
        <w:tc>
          <w:tcPr>
            <w:tcW w:w="1890" w:type="dxa"/>
          </w:tcPr>
          <w:p w:rsidR="003972D6" w:rsidRDefault="003972D6" w:rsidP="00442FCE"/>
        </w:tc>
        <w:tc>
          <w:tcPr>
            <w:tcW w:w="1455" w:type="dxa"/>
          </w:tcPr>
          <w:p w:rsidR="003972D6" w:rsidRDefault="003972D6" w:rsidP="00F12D4D"/>
        </w:tc>
      </w:tr>
    </w:tbl>
    <w:p w:rsidR="00797AF8" w:rsidRDefault="00797AF8" w:rsidP="00797AF8"/>
    <w:p w:rsidR="00D571A3" w:rsidRDefault="00D571A3" w:rsidP="00797AF8"/>
    <w:p w:rsidR="00D571A3" w:rsidRDefault="00D571A3" w:rsidP="00D571A3">
      <w:pPr>
        <w:jc w:val="center"/>
        <w:rPr>
          <w:b/>
        </w:rPr>
      </w:pPr>
      <w:r w:rsidRPr="00E05908">
        <w:rPr>
          <w:b/>
        </w:rPr>
        <w:lastRenderedPageBreak/>
        <w:t>Aging Together Grants Report</w:t>
      </w:r>
      <w:r>
        <w:rPr>
          <w:b/>
        </w:rPr>
        <w:t xml:space="preserve">  January 2014</w:t>
      </w:r>
    </w:p>
    <w:p w:rsidR="00D571A3" w:rsidRPr="00E05908" w:rsidRDefault="00D571A3" w:rsidP="00D571A3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458"/>
        <w:gridCol w:w="3330"/>
        <w:gridCol w:w="3690"/>
        <w:gridCol w:w="1980"/>
        <w:gridCol w:w="2718"/>
      </w:tblGrid>
      <w:tr w:rsidR="00D571A3" w:rsidRPr="00E05908" w:rsidTr="005440AC">
        <w:tc>
          <w:tcPr>
            <w:tcW w:w="1458" w:type="dxa"/>
          </w:tcPr>
          <w:p w:rsidR="00D571A3" w:rsidRPr="00E05908" w:rsidRDefault="00D571A3" w:rsidP="005440AC">
            <w:pPr>
              <w:jc w:val="center"/>
              <w:rPr>
                <w:b/>
                <w:sz w:val="24"/>
                <w:szCs w:val="24"/>
              </w:rPr>
            </w:pPr>
            <w:r w:rsidRPr="00E0590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330" w:type="dxa"/>
          </w:tcPr>
          <w:p w:rsidR="00D571A3" w:rsidRPr="00E05908" w:rsidRDefault="00D571A3" w:rsidP="005440AC">
            <w:pPr>
              <w:jc w:val="center"/>
              <w:rPr>
                <w:b/>
                <w:sz w:val="24"/>
                <w:szCs w:val="24"/>
              </w:rPr>
            </w:pPr>
            <w:r w:rsidRPr="00E05908">
              <w:rPr>
                <w:b/>
                <w:sz w:val="24"/>
                <w:szCs w:val="24"/>
              </w:rPr>
              <w:t>Grant Source</w:t>
            </w:r>
          </w:p>
        </w:tc>
        <w:tc>
          <w:tcPr>
            <w:tcW w:w="3690" w:type="dxa"/>
          </w:tcPr>
          <w:p w:rsidR="00D571A3" w:rsidRPr="00E05908" w:rsidRDefault="00D571A3" w:rsidP="005440AC">
            <w:pPr>
              <w:jc w:val="center"/>
              <w:rPr>
                <w:b/>
                <w:sz w:val="24"/>
                <w:szCs w:val="24"/>
              </w:rPr>
            </w:pPr>
            <w:r w:rsidRPr="00E05908"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1980" w:type="dxa"/>
          </w:tcPr>
          <w:p w:rsidR="00D571A3" w:rsidRPr="00E05908" w:rsidRDefault="00D571A3" w:rsidP="005440AC">
            <w:pPr>
              <w:jc w:val="center"/>
              <w:rPr>
                <w:b/>
                <w:sz w:val="24"/>
                <w:szCs w:val="24"/>
              </w:rPr>
            </w:pPr>
            <w:r w:rsidRPr="00E05908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2718" w:type="dxa"/>
          </w:tcPr>
          <w:p w:rsidR="00D571A3" w:rsidRPr="00E05908" w:rsidRDefault="00D571A3" w:rsidP="005440AC">
            <w:pPr>
              <w:jc w:val="center"/>
              <w:rPr>
                <w:b/>
                <w:sz w:val="24"/>
                <w:szCs w:val="24"/>
              </w:rPr>
            </w:pPr>
            <w:r w:rsidRPr="00E05908">
              <w:rPr>
                <w:b/>
                <w:sz w:val="24"/>
                <w:szCs w:val="24"/>
              </w:rPr>
              <w:t>Disposition</w:t>
            </w:r>
          </w:p>
        </w:tc>
      </w:tr>
      <w:tr w:rsidR="00D571A3" w:rsidRPr="00E05908" w:rsidTr="005440AC">
        <w:tc>
          <w:tcPr>
            <w:tcW w:w="1458" w:type="dxa"/>
          </w:tcPr>
          <w:p w:rsidR="00D571A3" w:rsidRPr="00E05908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2/1/13</w:t>
            </w:r>
          </w:p>
        </w:tc>
        <w:tc>
          <w:tcPr>
            <w:tcW w:w="3330" w:type="dxa"/>
          </w:tcPr>
          <w:p w:rsidR="00D571A3" w:rsidRPr="00E05908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DRPT Senior Transportation</w:t>
            </w:r>
          </w:p>
        </w:tc>
        <w:tc>
          <w:tcPr>
            <w:tcW w:w="3690" w:type="dxa"/>
          </w:tcPr>
          <w:p w:rsidR="00D571A3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Operating Funds for CareAVan; Replicate Rapp Rides Model</w:t>
            </w:r>
          </w:p>
        </w:tc>
        <w:tc>
          <w:tcPr>
            <w:tcW w:w="1980" w:type="dxa"/>
          </w:tcPr>
          <w:p w:rsidR="00D571A3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$14,450</w:t>
            </w:r>
          </w:p>
          <w:p w:rsidR="00D571A3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 Rapp Rides</w:t>
            </w:r>
          </w:p>
          <w:p w:rsidR="00D571A3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 CareAVan</w:t>
            </w:r>
          </w:p>
        </w:tc>
        <w:tc>
          <w:tcPr>
            <w:tcW w:w="2718" w:type="dxa"/>
          </w:tcPr>
          <w:p w:rsidR="00D571A3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7/13</w:t>
            </w:r>
          </w:p>
        </w:tc>
      </w:tr>
      <w:tr w:rsidR="00D571A3" w:rsidRPr="00E05908" w:rsidTr="005440AC">
        <w:tc>
          <w:tcPr>
            <w:tcW w:w="1458" w:type="dxa"/>
          </w:tcPr>
          <w:p w:rsidR="00D571A3" w:rsidRPr="00E05908" w:rsidRDefault="00D571A3" w:rsidP="005440AC">
            <w:pPr>
              <w:rPr>
                <w:sz w:val="24"/>
                <w:szCs w:val="24"/>
              </w:rPr>
            </w:pPr>
            <w:r w:rsidRPr="00E05908">
              <w:rPr>
                <w:sz w:val="24"/>
                <w:szCs w:val="24"/>
              </w:rPr>
              <w:t>10/15/13</w:t>
            </w:r>
          </w:p>
        </w:tc>
        <w:tc>
          <w:tcPr>
            <w:tcW w:w="3330" w:type="dxa"/>
          </w:tcPr>
          <w:p w:rsidR="00D571A3" w:rsidRPr="00E05908" w:rsidRDefault="00D571A3" w:rsidP="005440AC">
            <w:pPr>
              <w:rPr>
                <w:sz w:val="24"/>
                <w:szCs w:val="24"/>
              </w:rPr>
            </w:pPr>
            <w:r w:rsidRPr="00E05908">
              <w:rPr>
                <w:sz w:val="24"/>
                <w:szCs w:val="24"/>
              </w:rPr>
              <w:t>Lykes Fund (NPCF)</w:t>
            </w:r>
          </w:p>
        </w:tc>
        <w:tc>
          <w:tcPr>
            <w:tcW w:w="3690" w:type="dxa"/>
          </w:tcPr>
          <w:p w:rsidR="00D571A3" w:rsidRPr="00E05908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 CDSMP Program in Rappahannock County</w:t>
            </w:r>
          </w:p>
        </w:tc>
        <w:tc>
          <w:tcPr>
            <w:tcW w:w="1980" w:type="dxa"/>
          </w:tcPr>
          <w:p w:rsidR="00D571A3" w:rsidRPr="00E05908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$2500</w:t>
            </w:r>
          </w:p>
        </w:tc>
        <w:tc>
          <w:tcPr>
            <w:tcW w:w="2718" w:type="dxa"/>
          </w:tcPr>
          <w:p w:rsidR="00D571A3" w:rsidRPr="00E05908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12/13</w:t>
            </w:r>
          </w:p>
        </w:tc>
      </w:tr>
      <w:tr w:rsidR="00D571A3" w:rsidRPr="00E05908" w:rsidTr="005440AC">
        <w:tc>
          <w:tcPr>
            <w:tcW w:w="1458" w:type="dxa"/>
          </w:tcPr>
          <w:p w:rsidR="00D571A3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1/29/14</w:t>
            </w:r>
          </w:p>
        </w:tc>
        <w:tc>
          <w:tcPr>
            <w:tcW w:w="3330" w:type="dxa"/>
          </w:tcPr>
          <w:p w:rsidR="00D571A3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</w:t>
            </w:r>
          </w:p>
        </w:tc>
        <w:tc>
          <w:tcPr>
            <w:tcW w:w="3690" w:type="dxa"/>
          </w:tcPr>
          <w:p w:rsidR="00D571A3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Violence – including elder abuse and neglect; Currently evaluating feasibility of application with local DSS offices.</w:t>
            </w:r>
          </w:p>
        </w:tc>
        <w:tc>
          <w:tcPr>
            <w:tcW w:w="1980" w:type="dxa"/>
          </w:tcPr>
          <w:p w:rsidR="00D571A3" w:rsidRPr="00E05908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$15,000 maximum</w:t>
            </w:r>
          </w:p>
        </w:tc>
        <w:tc>
          <w:tcPr>
            <w:tcW w:w="2718" w:type="dxa"/>
          </w:tcPr>
          <w:p w:rsidR="00D571A3" w:rsidRPr="00E05908" w:rsidRDefault="00D571A3" w:rsidP="005440AC">
            <w:pPr>
              <w:rPr>
                <w:sz w:val="24"/>
                <w:szCs w:val="24"/>
              </w:rPr>
            </w:pPr>
          </w:p>
        </w:tc>
      </w:tr>
      <w:tr w:rsidR="00D571A3" w:rsidRPr="00E05908" w:rsidTr="005440AC">
        <w:tc>
          <w:tcPr>
            <w:tcW w:w="1458" w:type="dxa"/>
          </w:tcPr>
          <w:p w:rsidR="00D571A3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2/1/14</w:t>
            </w:r>
          </w:p>
        </w:tc>
        <w:tc>
          <w:tcPr>
            <w:tcW w:w="3330" w:type="dxa"/>
          </w:tcPr>
          <w:p w:rsidR="00D571A3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BamaWorks Fund </w:t>
            </w:r>
          </w:p>
        </w:tc>
        <w:tc>
          <w:tcPr>
            <w:tcW w:w="3690" w:type="dxa"/>
          </w:tcPr>
          <w:p w:rsidR="00D571A3" w:rsidRPr="00E05908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 County Only</w:t>
            </w:r>
          </w:p>
        </w:tc>
        <w:tc>
          <w:tcPr>
            <w:tcW w:w="1980" w:type="dxa"/>
          </w:tcPr>
          <w:p w:rsidR="00D571A3" w:rsidRPr="00E05908" w:rsidRDefault="00D571A3" w:rsidP="005440AC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D571A3" w:rsidRPr="00E05908" w:rsidRDefault="00D571A3" w:rsidP="005440AC">
            <w:pPr>
              <w:rPr>
                <w:sz w:val="24"/>
                <w:szCs w:val="24"/>
              </w:rPr>
            </w:pPr>
          </w:p>
        </w:tc>
      </w:tr>
      <w:tr w:rsidR="00D571A3" w:rsidRPr="00E05908" w:rsidTr="005440AC">
        <w:tc>
          <w:tcPr>
            <w:tcW w:w="1458" w:type="dxa"/>
          </w:tcPr>
          <w:p w:rsidR="00D571A3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2/15/13</w:t>
            </w:r>
          </w:p>
        </w:tc>
        <w:tc>
          <w:tcPr>
            <w:tcW w:w="3330" w:type="dxa"/>
          </w:tcPr>
          <w:p w:rsidR="00D571A3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Amerigroup Foundation</w:t>
            </w:r>
          </w:p>
        </w:tc>
        <w:tc>
          <w:tcPr>
            <w:tcW w:w="3690" w:type="dxa"/>
          </w:tcPr>
          <w:p w:rsidR="00D571A3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Chronic Disease Prevention; Need 501c3 sponsor</w:t>
            </w:r>
          </w:p>
        </w:tc>
        <w:tc>
          <w:tcPr>
            <w:tcW w:w="1980" w:type="dxa"/>
          </w:tcPr>
          <w:p w:rsidR="00D571A3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2718" w:type="dxa"/>
          </w:tcPr>
          <w:p w:rsidR="00D571A3" w:rsidRPr="00E05908" w:rsidRDefault="00D571A3" w:rsidP="005440AC">
            <w:pPr>
              <w:rPr>
                <w:sz w:val="24"/>
                <w:szCs w:val="24"/>
              </w:rPr>
            </w:pPr>
          </w:p>
        </w:tc>
      </w:tr>
      <w:tr w:rsidR="00D571A3" w:rsidRPr="00E05908" w:rsidTr="005440AC">
        <w:tc>
          <w:tcPr>
            <w:tcW w:w="1458" w:type="dxa"/>
          </w:tcPr>
          <w:p w:rsidR="00D571A3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3/3/14</w:t>
            </w:r>
          </w:p>
        </w:tc>
        <w:tc>
          <w:tcPr>
            <w:tcW w:w="3330" w:type="dxa"/>
          </w:tcPr>
          <w:p w:rsidR="00D571A3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 of Health and Human Services Mobilization for Health</w:t>
            </w:r>
          </w:p>
        </w:tc>
        <w:tc>
          <w:tcPr>
            <w:tcW w:w="3690" w:type="dxa"/>
          </w:tcPr>
          <w:p w:rsidR="00D571A3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Coordinated Health Prevention activities; requires at least 3 collaborating partners.  Discussing with Fauquier (Chronic Disease Prevention) and Culpeper (Jan 13</w:t>
            </w:r>
            <w:r w:rsidRPr="00A17A6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80" w:type="dxa"/>
          </w:tcPr>
          <w:p w:rsidR="00D571A3" w:rsidRPr="00E05908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$50,000 to $500,000</w:t>
            </w:r>
          </w:p>
        </w:tc>
        <w:tc>
          <w:tcPr>
            <w:tcW w:w="2718" w:type="dxa"/>
          </w:tcPr>
          <w:p w:rsidR="00D571A3" w:rsidRPr="00E05908" w:rsidRDefault="00D571A3" w:rsidP="005440AC">
            <w:pPr>
              <w:rPr>
                <w:sz w:val="24"/>
                <w:szCs w:val="24"/>
              </w:rPr>
            </w:pPr>
          </w:p>
        </w:tc>
      </w:tr>
      <w:tr w:rsidR="00D571A3" w:rsidRPr="00E05908" w:rsidTr="005440AC">
        <w:tc>
          <w:tcPr>
            <w:tcW w:w="1458" w:type="dxa"/>
          </w:tcPr>
          <w:p w:rsidR="00D571A3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5/1/14</w:t>
            </w:r>
          </w:p>
        </w:tc>
        <w:tc>
          <w:tcPr>
            <w:tcW w:w="3330" w:type="dxa"/>
          </w:tcPr>
          <w:p w:rsidR="00D571A3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Instead Senior Care Foundation</w:t>
            </w:r>
          </w:p>
        </w:tc>
        <w:tc>
          <w:tcPr>
            <w:tcW w:w="3690" w:type="dxa"/>
          </w:tcPr>
          <w:p w:rsidR="00D571A3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Falls Prevention</w:t>
            </w:r>
          </w:p>
        </w:tc>
        <w:tc>
          <w:tcPr>
            <w:tcW w:w="1980" w:type="dxa"/>
          </w:tcPr>
          <w:p w:rsidR="00D571A3" w:rsidRPr="00E05908" w:rsidRDefault="00D571A3" w:rsidP="005440AC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D571A3" w:rsidRPr="00E05908" w:rsidRDefault="00D571A3" w:rsidP="005440AC">
            <w:pPr>
              <w:rPr>
                <w:sz w:val="24"/>
                <w:szCs w:val="24"/>
              </w:rPr>
            </w:pPr>
          </w:p>
        </w:tc>
      </w:tr>
      <w:tr w:rsidR="00D571A3" w:rsidRPr="00E05908" w:rsidTr="005440AC">
        <w:tc>
          <w:tcPr>
            <w:tcW w:w="1458" w:type="dxa"/>
          </w:tcPr>
          <w:p w:rsidR="00D571A3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6/3/13</w:t>
            </w:r>
          </w:p>
        </w:tc>
        <w:tc>
          <w:tcPr>
            <w:tcW w:w="3330" w:type="dxa"/>
          </w:tcPr>
          <w:p w:rsidR="00D571A3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 Methodist Women</w:t>
            </w:r>
          </w:p>
        </w:tc>
        <w:tc>
          <w:tcPr>
            <w:tcW w:w="3690" w:type="dxa"/>
          </w:tcPr>
          <w:p w:rsidR="00D571A3" w:rsidRPr="00E05908" w:rsidRDefault="00D571A3" w:rsidP="005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Literacy</w:t>
            </w:r>
          </w:p>
        </w:tc>
        <w:tc>
          <w:tcPr>
            <w:tcW w:w="1980" w:type="dxa"/>
          </w:tcPr>
          <w:p w:rsidR="00D571A3" w:rsidRPr="00E05908" w:rsidRDefault="00D571A3" w:rsidP="005440AC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D571A3" w:rsidRPr="00E05908" w:rsidRDefault="00D571A3" w:rsidP="005440AC">
            <w:pPr>
              <w:rPr>
                <w:sz w:val="24"/>
                <w:szCs w:val="24"/>
              </w:rPr>
            </w:pPr>
          </w:p>
        </w:tc>
      </w:tr>
    </w:tbl>
    <w:p w:rsidR="00D571A3" w:rsidRDefault="00D571A3" w:rsidP="00797AF8"/>
    <w:p w:rsidR="00442FCE" w:rsidRDefault="00442FCE" w:rsidP="002D0362">
      <w:pPr>
        <w:jc w:val="center"/>
      </w:pPr>
      <w:r w:rsidRPr="000D0F03">
        <w:rPr>
          <w:b/>
        </w:rPr>
        <w:t xml:space="preserve">        </w:t>
      </w:r>
    </w:p>
    <w:sectPr w:rsidR="00442FCE" w:rsidSect="007B0D00">
      <w:footerReference w:type="default" r:id="rId7"/>
      <w:headerReference w:type="first" r:id="rId8"/>
      <w:pgSz w:w="15840" w:h="12240" w:orient="landscape" w:code="1"/>
      <w:pgMar w:top="540" w:right="1080" w:bottom="1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6B" w:rsidRDefault="0018116B">
      <w:r>
        <w:separator/>
      </w:r>
    </w:p>
  </w:endnote>
  <w:endnote w:type="continuationSeparator" w:id="0">
    <w:p w:rsidR="0018116B" w:rsidRDefault="0018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DE" w:rsidRDefault="001E56D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 w:rsidR="00BC7EA3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BC7EA3">
      <w:rPr>
        <w:sz w:val="20"/>
        <w:szCs w:val="20"/>
      </w:rPr>
      <w:fldChar w:fldCharType="separate"/>
    </w:r>
    <w:r w:rsidR="00D571A3">
      <w:rPr>
        <w:noProof/>
        <w:sz w:val="20"/>
        <w:szCs w:val="20"/>
      </w:rPr>
      <w:t>2</w:t>
    </w:r>
    <w:r w:rsidR="00BC7EA3"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 w:rsidR="00BC7EA3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BC7EA3">
      <w:rPr>
        <w:sz w:val="20"/>
        <w:szCs w:val="20"/>
      </w:rPr>
      <w:fldChar w:fldCharType="separate"/>
    </w:r>
    <w:r w:rsidR="00D571A3">
      <w:rPr>
        <w:noProof/>
        <w:sz w:val="20"/>
        <w:szCs w:val="20"/>
      </w:rPr>
      <w:t>2</w:t>
    </w:r>
    <w:r w:rsidR="00BC7EA3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6B" w:rsidRDefault="0018116B">
      <w:r>
        <w:separator/>
      </w:r>
    </w:p>
  </w:footnote>
  <w:footnote w:type="continuationSeparator" w:id="0">
    <w:p w:rsidR="0018116B" w:rsidRDefault="0018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DE" w:rsidRDefault="00BC7EA3">
    <w:pPr>
      <w:pStyle w:val="Header"/>
    </w:pPr>
    <w:fldSimple w:instr=" AUTHOR ">
      <w:r w:rsidR="00D571A3">
        <w:rPr>
          <w:noProof/>
        </w:rPr>
        <w:t>UTag4905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3CE"/>
    <w:multiLevelType w:val="hybridMultilevel"/>
    <w:tmpl w:val="B100F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648A8"/>
    <w:multiLevelType w:val="hybridMultilevel"/>
    <w:tmpl w:val="38B63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263F4"/>
    <w:multiLevelType w:val="hybridMultilevel"/>
    <w:tmpl w:val="A324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80BDB"/>
    <w:multiLevelType w:val="hybridMultilevel"/>
    <w:tmpl w:val="EF00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028C2"/>
    <w:multiLevelType w:val="hybridMultilevel"/>
    <w:tmpl w:val="9A6A4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7620B"/>
    <w:multiLevelType w:val="hybridMultilevel"/>
    <w:tmpl w:val="03AA0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727CC4"/>
    <w:multiLevelType w:val="hybridMultilevel"/>
    <w:tmpl w:val="00A06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E2BC5"/>
    <w:multiLevelType w:val="hybridMultilevel"/>
    <w:tmpl w:val="E3221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3B72CB"/>
    <w:multiLevelType w:val="hybridMultilevel"/>
    <w:tmpl w:val="358A55D2"/>
    <w:lvl w:ilvl="0" w:tplc="0AA601C0">
      <w:start w:val="1"/>
      <w:numFmt w:val="bullet"/>
      <w:lvlText w:val="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3A5472C"/>
    <w:multiLevelType w:val="hybridMultilevel"/>
    <w:tmpl w:val="49C6B8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8442A5"/>
    <w:multiLevelType w:val="hybridMultilevel"/>
    <w:tmpl w:val="02F6E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F13639"/>
    <w:multiLevelType w:val="hybridMultilevel"/>
    <w:tmpl w:val="E6D4E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E50B7F"/>
    <w:multiLevelType w:val="hybridMultilevel"/>
    <w:tmpl w:val="8EE20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D4F8A"/>
    <w:multiLevelType w:val="hybridMultilevel"/>
    <w:tmpl w:val="6BA4FB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528226A"/>
    <w:multiLevelType w:val="hybridMultilevel"/>
    <w:tmpl w:val="F386F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6A41687"/>
    <w:multiLevelType w:val="hybridMultilevel"/>
    <w:tmpl w:val="B856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C5059"/>
    <w:multiLevelType w:val="hybridMultilevel"/>
    <w:tmpl w:val="554226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83244B1"/>
    <w:multiLevelType w:val="hybridMultilevel"/>
    <w:tmpl w:val="004A7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FE7BC7"/>
    <w:multiLevelType w:val="hybridMultilevel"/>
    <w:tmpl w:val="B1CC7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1E33B8"/>
    <w:multiLevelType w:val="hybridMultilevel"/>
    <w:tmpl w:val="E74E2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025ED7"/>
    <w:multiLevelType w:val="hybridMultilevel"/>
    <w:tmpl w:val="6DCA5E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9D57264"/>
    <w:multiLevelType w:val="hybridMultilevel"/>
    <w:tmpl w:val="7EE45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B912B3"/>
    <w:multiLevelType w:val="hybridMultilevel"/>
    <w:tmpl w:val="57061482"/>
    <w:lvl w:ilvl="0" w:tplc="0AA601C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D6ADD"/>
    <w:multiLevelType w:val="hybridMultilevel"/>
    <w:tmpl w:val="FA9E1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0F3F6B"/>
    <w:multiLevelType w:val="multilevel"/>
    <w:tmpl w:val="00A0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A4B21"/>
    <w:multiLevelType w:val="hybridMultilevel"/>
    <w:tmpl w:val="FDB244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8814BF0"/>
    <w:multiLevelType w:val="hybridMultilevel"/>
    <w:tmpl w:val="A7F4D5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44C81"/>
    <w:multiLevelType w:val="hybridMultilevel"/>
    <w:tmpl w:val="6C765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C633134"/>
    <w:multiLevelType w:val="hybridMultilevel"/>
    <w:tmpl w:val="BD6A0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DD702BD"/>
    <w:multiLevelType w:val="hybridMultilevel"/>
    <w:tmpl w:val="782CC5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FB21D0B"/>
    <w:multiLevelType w:val="hybridMultilevel"/>
    <w:tmpl w:val="ACACC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B95EE5"/>
    <w:multiLevelType w:val="hybridMultilevel"/>
    <w:tmpl w:val="665E9B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05B4DA0"/>
    <w:multiLevelType w:val="hybridMultilevel"/>
    <w:tmpl w:val="680C1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FD1AED"/>
    <w:multiLevelType w:val="hybridMultilevel"/>
    <w:tmpl w:val="D36C5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F42E25"/>
    <w:multiLevelType w:val="hybridMultilevel"/>
    <w:tmpl w:val="E2206A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6D306D0"/>
    <w:multiLevelType w:val="hybridMultilevel"/>
    <w:tmpl w:val="15408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DE222D"/>
    <w:multiLevelType w:val="hybridMultilevel"/>
    <w:tmpl w:val="7D4E9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C15AA0"/>
    <w:multiLevelType w:val="hybridMultilevel"/>
    <w:tmpl w:val="DF1E1230"/>
    <w:lvl w:ilvl="0" w:tplc="0AA601C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160FE"/>
    <w:multiLevelType w:val="hybridMultilevel"/>
    <w:tmpl w:val="8EAC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F05420"/>
    <w:multiLevelType w:val="hybridMultilevel"/>
    <w:tmpl w:val="31EEC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43C7CCE"/>
    <w:multiLevelType w:val="hybridMultilevel"/>
    <w:tmpl w:val="8CB20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BB475C"/>
    <w:multiLevelType w:val="hybridMultilevel"/>
    <w:tmpl w:val="B12A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173530"/>
    <w:multiLevelType w:val="hybridMultilevel"/>
    <w:tmpl w:val="6CECF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FC561F"/>
    <w:multiLevelType w:val="hybridMultilevel"/>
    <w:tmpl w:val="FB1CF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113D7"/>
    <w:multiLevelType w:val="hybridMultilevel"/>
    <w:tmpl w:val="1E587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F71B92"/>
    <w:multiLevelType w:val="hybridMultilevel"/>
    <w:tmpl w:val="B358E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4"/>
  </w:num>
  <w:num w:numId="3">
    <w:abstractNumId w:val="5"/>
  </w:num>
  <w:num w:numId="4">
    <w:abstractNumId w:val="11"/>
  </w:num>
  <w:num w:numId="5">
    <w:abstractNumId w:val="27"/>
  </w:num>
  <w:num w:numId="6">
    <w:abstractNumId w:val="30"/>
  </w:num>
  <w:num w:numId="7">
    <w:abstractNumId w:val="31"/>
  </w:num>
  <w:num w:numId="8">
    <w:abstractNumId w:val="25"/>
  </w:num>
  <w:num w:numId="9">
    <w:abstractNumId w:val="34"/>
  </w:num>
  <w:num w:numId="10">
    <w:abstractNumId w:val="32"/>
  </w:num>
  <w:num w:numId="11">
    <w:abstractNumId w:val="33"/>
  </w:num>
  <w:num w:numId="12">
    <w:abstractNumId w:val="6"/>
  </w:num>
  <w:num w:numId="13">
    <w:abstractNumId w:val="24"/>
  </w:num>
  <w:num w:numId="14">
    <w:abstractNumId w:val="21"/>
  </w:num>
  <w:num w:numId="15">
    <w:abstractNumId w:val="20"/>
  </w:num>
  <w:num w:numId="16">
    <w:abstractNumId w:val="35"/>
  </w:num>
  <w:num w:numId="17">
    <w:abstractNumId w:val="14"/>
  </w:num>
  <w:num w:numId="18">
    <w:abstractNumId w:val="38"/>
  </w:num>
  <w:num w:numId="19">
    <w:abstractNumId w:val="1"/>
  </w:num>
  <w:num w:numId="20">
    <w:abstractNumId w:val="9"/>
  </w:num>
  <w:num w:numId="21">
    <w:abstractNumId w:val="0"/>
  </w:num>
  <w:num w:numId="22">
    <w:abstractNumId w:val="12"/>
  </w:num>
  <w:num w:numId="23">
    <w:abstractNumId w:val="39"/>
  </w:num>
  <w:num w:numId="24">
    <w:abstractNumId w:val="16"/>
  </w:num>
  <w:num w:numId="25">
    <w:abstractNumId w:val="28"/>
  </w:num>
  <w:num w:numId="26">
    <w:abstractNumId w:val="13"/>
  </w:num>
  <w:num w:numId="27">
    <w:abstractNumId w:val="29"/>
  </w:num>
  <w:num w:numId="28">
    <w:abstractNumId w:val="10"/>
  </w:num>
  <w:num w:numId="29">
    <w:abstractNumId w:val="42"/>
  </w:num>
  <w:num w:numId="30">
    <w:abstractNumId w:val="41"/>
  </w:num>
  <w:num w:numId="31">
    <w:abstractNumId w:val="19"/>
  </w:num>
  <w:num w:numId="32">
    <w:abstractNumId w:val="18"/>
  </w:num>
  <w:num w:numId="33">
    <w:abstractNumId w:val="4"/>
  </w:num>
  <w:num w:numId="34">
    <w:abstractNumId w:val="22"/>
  </w:num>
  <w:num w:numId="35">
    <w:abstractNumId w:val="8"/>
  </w:num>
  <w:num w:numId="36">
    <w:abstractNumId w:val="37"/>
  </w:num>
  <w:num w:numId="37">
    <w:abstractNumId w:val="17"/>
  </w:num>
  <w:num w:numId="38">
    <w:abstractNumId w:val="3"/>
  </w:num>
  <w:num w:numId="39">
    <w:abstractNumId w:val="15"/>
  </w:num>
  <w:num w:numId="40">
    <w:abstractNumId w:val="2"/>
  </w:num>
  <w:num w:numId="41">
    <w:abstractNumId w:val="23"/>
  </w:num>
  <w:num w:numId="42">
    <w:abstractNumId w:val="43"/>
  </w:num>
  <w:num w:numId="43">
    <w:abstractNumId w:val="40"/>
  </w:num>
  <w:num w:numId="44">
    <w:abstractNumId w:val="26"/>
  </w:num>
  <w:num w:numId="45">
    <w:abstractNumId w:val="45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EF3"/>
    <w:rsid w:val="00000F9C"/>
    <w:rsid w:val="00002107"/>
    <w:rsid w:val="00007466"/>
    <w:rsid w:val="00007D95"/>
    <w:rsid w:val="00010292"/>
    <w:rsid w:val="00010BDE"/>
    <w:rsid w:val="00014348"/>
    <w:rsid w:val="000144F3"/>
    <w:rsid w:val="0002702D"/>
    <w:rsid w:val="00033A2D"/>
    <w:rsid w:val="00034C75"/>
    <w:rsid w:val="00040D6A"/>
    <w:rsid w:val="00040E5E"/>
    <w:rsid w:val="00040E86"/>
    <w:rsid w:val="000502B6"/>
    <w:rsid w:val="000502D3"/>
    <w:rsid w:val="00050A72"/>
    <w:rsid w:val="00054260"/>
    <w:rsid w:val="000618E9"/>
    <w:rsid w:val="0006559A"/>
    <w:rsid w:val="00066BE2"/>
    <w:rsid w:val="0007052B"/>
    <w:rsid w:val="0007310A"/>
    <w:rsid w:val="00075CE6"/>
    <w:rsid w:val="00084780"/>
    <w:rsid w:val="000852BA"/>
    <w:rsid w:val="000853D5"/>
    <w:rsid w:val="0009083F"/>
    <w:rsid w:val="00091C49"/>
    <w:rsid w:val="00095175"/>
    <w:rsid w:val="000A4A4E"/>
    <w:rsid w:val="000A56BA"/>
    <w:rsid w:val="000B12CC"/>
    <w:rsid w:val="000C0657"/>
    <w:rsid w:val="000C4A53"/>
    <w:rsid w:val="000D0619"/>
    <w:rsid w:val="000D0F03"/>
    <w:rsid w:val="000D32C1"/>
    <w:rsid w:val="000D38F2"/>
    <w:rsid w:val="000D3E2E"/>
    <w:rsid w:val="000E19A0"/>
    <w:rsid w:val="000E7911"/>
    <w:rsid w:val="000F479A"/>
    <w:rsid w:val="000F59AF"/>
    <w:rsid w:val="000F5E12"/>
    <w:rsid w:val="001039EF"/>
    <w:rsid w:val="00106F54"/>
    <w:rsid w:val="001078C2"/>
    <w:rsid w:val="001145BE"/>
    <w:rsid w:val="001258FA"/>
    <w:rsid w:val="001426D0"/>
    <w:rsid w:val="00143E1E"/>
    <w:rsid w:val="00147508"/>
    <w:rsid w:val="0014769A"/>
    <w:rsid w:val="001526CE"/>
    <w:rsid w:val="00155C40"/>
    <w:rsid w:val="001561CB"/>
    <w:rsid w:val="00165D61"/>
    <w:rsid w:val="0017069D"/>
    <w:rsid w:val="0018116B"/>
    <w:rsid w:val="00182584"/>
    <w:rsid w:val="0019099D"/>
    <w:rsid w:val="00191F9A"/>
    <w:rsid w:val="001923F6"/>
    <w:rsid w:val="00192CFE"/>
    <w:rsid w:val="00193378"/>
    <w:rsid w:val="001A0115"/>
    <w:rsid w:val="001A131A"/>
    <w:rsid w:val="001A1E05"/>
    <w:rsid w:val="001A3597"/>
    <w:rsid w:val="001A5C90"/>
    <w:rsid w:val="001B2979"/>
    <w:rsid w:val="001B60DF"/>
    <w:rsid w:val="001C1D5A"/>
    <w:rsid w:val="001C6B62"/>
    <w:rsid w:val="001D21BE"/>
    <w:rsid w:val="001D3F51"/>
    <w:rsid w:val="001D5EAF"/>
    <w:rsid w:val="001E125F"/>
    <w:rsid w:val="001E2356"/>
    <w:rsid w:val="001E56DE"/>
    <w:rsid w:val="001E62F5"/>
    <w:rsid w:val="001E7A8F"/>
    <w:rsid w:val="001F01B3"/>
    <w:rsid w:val="001F0B14"/>
    <w:rsid w:val="001F50F3"/>
    <w:rsid w:val="001F6EF3"/>
    <w:rsid w:val="002037DB"/>
    <w:rsid w:val="00203C08"/>
    <w:rsid w:val="00205CB1"/>
    <w:rsid w:val="00206A9B"/>
    <w:rsid w:val="00210C5B"/>
    <w:rsid w:val="00214380"/>
    <w:rsid w:val="00214A40"/>
    <w:rsid w:val="00223C1D"/>
    <w:rsid w:val="00225361"/>
    <w:rsid w:val="00225D12"/>
    <w:rsid w:val="00230FBD"/>
    <w:rsid w:val="0023234B"/>
    <w:rsid w:val="00236552"/>
    <w:rsid w:val="002440D9"/>
    <w:rsid w:val="00244D30"/>
    <w:rsid w:val="0024737B"/>
    <w:rsid w:val="00257553"/>
    <w:rsid w:val="002629B9"/>
    <w:rsid w:val="00265F8F"/>
    <w:rsid w:val="00266B58"/>
    <w:rsid w:val="00274276"/>
    <w:rsid w:val="00276869"/>
    <w:rsid w:val="00277685"/>
    <w:rsid w:val="002809B2"/>
    <w:rsid w:val="00281935"/>
    <w:rsid w:val="0028238D"/>
    <w:rsid w:val="0028521A"/>
    <w:rsid w:val="00293E64"/>
    <w:rsid w:val="002A0C98"/>
    <w:rsid w:val="002A0D78"/>
    <w:rsid w:val="002A2FD5"/>
    <w:rsid w:val="002B0A0D"/>
    <w:rsid w:val="002B2FB4"/>
    <w:rsid w:val="002B373F"/>
    <w:rsid w:val="002C0F81"/>
    <w:rsid w:val="002C2E9A"/>
    <w:rsid w:val="002C7E09"/>
    <w:rsid w:val="002D0362"/>
    <w:rsid w:val="002D13D5"/>
    <w:rsid w:val="002D19F6"/>
    <w:rsid w:val="002D31A6"/>
    <w:rsid w:val="002E495D"/>
    <w:rsid w:val="002E6816"/>
    <w:rsid w:val="002F5E8A"/>
    <w:rsid w:val="00305EEC"/>
    <w:rsid w:val="003073DB"/>
    <w:rsid w:val="00310076"/>
    <w:rsid w:val="00317182"/>
    <w:rsid w:val="00326FBC"/>
    <w:rsid w:val="00327FDF"/>
    <w:rsid w:val="00330BEE"/>
    <w:rsid w:val="003322C3"/>
    <w:rsid w:val="00341456"/>
    <w:rsid w:val="0034178D"/>
    <w:rsid w:val="0034542F"/>
    <w:rsid w:val="00350B45"/>
    <w:rsid w:val="00355499"/>
    <w:rsid w:val="0035666C"/>
    <w:rsid w:val="00356CF2"/>
    <w:rsid w:val="00357817"/>
    <w:rsid w:val="00360732"/>
    <w:rsid w:val="00361FC8"/>
    <w:rsid w:val="00366BDF"/>
    <w:rsid w:val="003746A1"/>
    <w:rsid w:val="00374CBD"/>
    <w:rsid w:val="003800AD"/>
    <w:rsid w:val="00380353"/>
    <w:rsid w:val="003827BE"/>
    <w:rsid w:val="003853C7"/>
    <w:rsid w:val="00385EA7"/>
    <w:rsid w:val="00391E33"/>
    <w:rsid w:val="00391E3D"/>
    <w:rsid w:val="00391FC6"/>
    <w:rsid w:val="003972D6"/>
    <w:rsid w:val="003A2228"/>
    <w:rsid w:val="003B1DFE"/>
    <w:rsid w:val="003B244A"/>
    <w:rsid w:val="003B5046"/>
    <w:rsid w:val="003B58A8"/>
    <w:rsid w:val="003B58EC"/>
    <w:rsid w:val="003B6A20"/>
    <w:rsid w:val="003B6E48"/>
    <w:rsid w:val="003C1EB9"/>
    <w:rsid w:val="003C50BA"/>
    <w:rsid w:val="003D7DAE"/>
    <w:rsid w:val="003E08A5"/>
    <w:rsid w:val="003E38D9"/>
    <w:rsid w:val="00405564"/>
    <w:rsid w:val="00413DFC"/>
    <w:rsid w:val="004144D7"/>
    <w:rsid w:val="0041671B"/>
    <w:rsid w:val="004229AB"/>
    <w:rsid w:val="004337AC"/>
    <w:rsid w:val="00435368"/>
    <w:rsid w:val="004379C6"/>
    <w:rsid w:val="004409A5"/>
    <w:rsid w:val="00440BDB"/>
    <w:rsid w:val="00440D04"/>
    <w:rsid w:val="00441765"/>
    <w:rsid w:val="00442E88"/>
    <w:rsid w:val="00442FCE"/>
    <w:rsid w:val="004525C1"/>
    <w:rsid w:val="00452B35"/>
    <w:rsid w:val="00452EAE"/>
    <w:rsid w:val="00457743"/>
    <w:rsid w:val="0046061B"/>
    <w:rsid w:val="00460665"/>
    <w:rsid w:val="004614D1"/>
    <w:rsid w:val="004645BF"/>
    <w:rsid w:val="00466706"/>
    <w:rsid w:val="00471D73"/>
    <w:rsid w:val="00473F28"/>
    <w:rsid w:val="00476DF2"/>
    <w:rsid w:val="004772B9"/>
    <w:rsid w:val="00480E43"/>
    <w:rsid w:val="00482181"/>
    <w:rsid w:val="0048257D"/>
    <w:rsid w:val="00493F1B"/>
    <w:rsid w:val="00496BAA"/>
    <w:rsid w:val="004A0AB0"/>
    <w:rsid w:val="004A25DC"/>
    <w:rsid w:val="004A37AF"/>
    <w:rsid w:val="004B0D70"/>
    <w:rsid w:val="004B2A0D"/>
    <w:rsid w:val="004B6F35"/>
    <w:rsid w:val="004C35F3"/>
    <w:rsid w:val="004C49B4"/>
    <w:rsid w:val="004C6169"/>
    <w:rsid w:val="004C739A"/>
    <w:rsid w:val="004D0933"/>
    <w:rsid w:val="004D6408"/>
    <w:rsid w:val="004E08F1"/>
    <w:rsid w:val="004E10C9"/>
    <w:rsid w:val="004E1AD4"/>
    <w:rsid w:val="004E2A23"/>
    <w:rsid w:val="004E4A04"/>
    <w:rsid w:val="004F13C0"/>
    <w:rsid w:val="004F33AC"/>
    <w:rsid w:val="004F6967"/>
    <w:rsid w:val="004F7166"/>
    <w:rsid w:val="005044BB"/>
    <w:rsid w:val="00507068"/>
    <w:rsid w:val="005073F2"/>
    <w:rsid w:val="005121C7"/>
    <w:rsid w:val="00513807"/>
    <w:rsid w:val="00515429"/>
    <w:rsid w:val="00527F4B"/>
    <w:rsid w:val="0053036B"/>
    <w:rsid w:val="00535C2E"/>
    <w:rsid w:val="0053726E"/>
    <w:rsid w:val="00540467"/>
    <w:rsid w:val="00541D4D"/>
    <w:rsid w:val="0054331A"/>
    <w:rsid w:val="00543DBC"/>
    <w:rsid w:val="005451AD"/>
    <w:rsid w:val="00545F05"/>
    <w:rsid w:val="00546102"/>
    <w:rsid w:val="005461C7"/>
    <w:rsid w:val="005500C3"/>
    <w:rsid w:val="00552CE7"/>
    <w:rsid w:val="00560F2D"/>
    <w:rsid w:val="00564698"/>
    <w:rsid w:val="00571870"/>
    <w:rsid w:val="005735E1"/>
    <w:rsid w:val="00580131"/>
    <w:rsid w:val="005802DE"/>
    <w:rsid w:val="005805D7"/>
    <w:rsid w:val="0058156D"/>
    <w:rsid w:val="00582884"/>
    <w:rsid w:val="005850F8"/>
    <w:rsid w:val="005876C3"/>
    <w:rsid w:val="005A0D52"/>
    <w:rsid w:val="005A36D5"/>
    <w:rsid w:val="005A4439"/>
    <w:rsid w:val="005A54B9"/>
    <w:rsid w:val="005A7573"/>
    <w:rsid w:val="005B15B5"/>
    <w:rsid w:val="005B225C"/>
    <w:rsid w:val="005B4928"/>
    <w:rsid w:val="005C15F7"/>
    <w:rsid w:val="005C3C08"/>
    <w:rsid w:val="005C451D"/>
    <w:rsid w:val="005D0ABD"/>
    <w:rsid w:val="005D1138"/>
    <w:rsid w:val="005D35EE"/>
    <w:rsid w:val="005D4D6E"/>
    <w:rsid w:val="005E070F"/>
    <w:rsid w:val="005E5FC3"/>
    <w:rsid w:val="005F4D18"/>
    <w:rsid w:val="005F799E"/>
    <w:rsid w:val="006000C9"/>
    <w:rsid w:val="00601A56"/>
    <w:rsid w:val="00607716"/>
    <w:rsid w:val="00607CFD"/>
    <w:rsid w:val="0061429B"/>
    <w:rsid w:val="00621A55"/>
    <w:rsid w:val="006310B8"/>
    <w:rsid w:val="006324B6"/>
    <w:rsid w:val="0063471F"/>
    <w:rsid w:val="006379AC"/>
    <w:rsid w:val="00643955"/>
    <w:rsid w:val="0064539C"/>
    <w:rsid w:val="00646D32"/>
    <w:rsid w:val="0065203E"/>
    <w:rsid w:val="00653E32"/>
    <w:rsid w:val="0065404D"/>
    <w:rsid w:val="0065494E"/>
    <w:rsid w:val="00655E3A"/>
    <w:rsid w:val="00656F4F"/>
    <w:rsid w:val="00660E63"/>
    <w:rsid w:val="006634A2"/>
    <w:rsid w:val="00663EC8"/>
    <w:rsid w:val="00663FDF"/>
    <w:rsid w:val="00664BF3"/>
    <w:rsid w:val="006652DE"/>
    <w:rsid w:val="00667FEA"/>
    <w:rsid w:val="0067586C"/>
    <w:rsid w:val="0069072F"/>
    <w:rsid w:val="006938D5"/>
    <w:rsid w:val="0069696A"/>
    <w:rsid w:val="006A440C"/>
    <w:rsid w:val="006A4B57"/>
    <w:rsid w:val="006A74BE"/>
    <w:rsid w:val="006A7CB2"/>
    <w:rsid w:val="006B2716"/>
    <w:rsid w:val="006B5D65"/>
    <w:rsid w:val="006B7137"/>
    <w:rsid w:val="006B7F44"/>
    <w:rsid w:val="006C34C9"/>
    <w:rsid w:val="006C6880"/>
    <w:rsid w:val="006D505F"/>
    <w:rsid w:val="006E44E0"/>
    <w:rsid w:val="006F1128"/>
    <w:rsid w:val="006F1398"/>
    <w:rsid w:val="006F1CB1"/>
    <w:rsid w:val="006F4E0C"/>
    <w:rsid w:val="006F7864"/>
    <w:rsid w:val="0070261C"/>
    <w:rsid w:val="00707F63"/>
    <w:rsid w:val="0071548C"/>
    <w:rsid w:val="00723F5C"/>
    <w:rsid w:val="00725107"/>
    <w:rsid w:val="0072580D"/>
    <w:rsid w:val="0072743E"/>
    <w:rsid w:val="00730EC1"/>
    <w:rsid w:val="00737B02"/>
    <w:rsid w:val="0074027E"/>
    <w:rsid w:val="007407FC"/>
    <w:rsid w:val="0074551C"/>
    <w:rsid w:val="00747305"/>
    <w:rsid w:val="00755A72"/>
    <w:rsid w:val="007618B2"/>
    <w:rsid w:val="00764952"/>
    <w:rsid w:val="0076753B"/>
    <w:rsid w:val="00774C08"/>
    <w:rsid w:val="00774FA2"/>
    <w:rsid w:val="007754A7"/>
    <w:rsid w:val="00791DEB"/>
    <w:rsid w:val="00794853"/>
    <w:rsid w:val="00794964"/>
    <w:rsid w:val="00795C29"/>
    <w:rsid w:val="00797AF8"/>
    <w:rsid w:val="007A16AE"/>
    <w:rsid w:val="007A52E8"/>
    <w:rsid w:val="007A5585"/>
    <w:rsid w:val="007B0D00"/>
    <w:rsid w:val="007B19CF"/>
    <w:rsid w:val="007B3C28"/>
    <w:rsid w:val="007B5D09"/>
    <w:rsid w:val="007C0F65"/>
    <w:rsid w:val="007C2450"/>
    <w:rsid w:val="007D41C0"/>
    <w:rsid w:val="007E250C"/>
    <w:rsid w:val="008020C7"/>
    <w:rsid w:val="00810C9A"/>
    <w:rsid w:val="0081153F"/>
    <w:rsid w:val="008120DE"/>
    <w:rsid w:val="00812790"/>
    <w:rsid w:val="00814E10"/>
    <w:rsid w:val="0082155D"/>
    <w:rsid w:val="008245BF"/>
    <w:rsid w:val="00833152"/>
    <w:rsid w:val="00834863"/>
    <w:rsid w:val="00834EFB"/>
    <w:rsid w:val="008354AD"/>
    <w:rsid w:val="00842184"/>
    <w:rsid w:val="008452BE"/>
    <w:rsid w:val="0085723D"/>
    <w:rsid w:val="008630F7"/>
    <w:rsid w:val="00863994"/>
    <w:rsid w:val="0086488E"/>
    <w:rsid w:val="008750EE"/>
    <w:rsid w:val="0087685F"/>
    <w:rsid w:val="00880C86"/>
    <w:rsid w:val="00885701"/>
    <w:rsid w:val="00885E52"/>
    <w:rsid w:val="0088673A"/>
    <w:rsid w:val="008912FA"/>
    <w:rsid w:val="00891992"/>
    <w:rsid w:val="00893C51"/>
    <w:rsid w:val="00893E71"/>
    <w:rsid w:val="00897584"/>
    <w:rsid w:val="008A11E5"/>
    <w:rsid w:val="008A467D"/>
    <w:rsid w:val="008A5A2D"/>
    <w:rsid w:val="008A7D8D"/>
    <w:rsid w:val="008B0C86"/>
    <w:rsid w:val="008B3A4E"/>
    <w:rsid w:val="008B3C90"/>
    <w:rsid w:val="008B4B8A"/>
    <w:rsid w:val="008B5ACE"/>
    <w:rsid w:val="008B7DD6"/>
    <w:rsid w:val="008B7F07"/>
    <w:rsid w:val="008C313C"/>
    <w:rsid w:val="008D0ACA"/>
    <w:rsid w:val="008D3705"/>
    <w:rsid w:val="008D72F5"/>
    <w:rsid w:val="008E4CA6"/>
    <w:rsid w:val="008E56CA"/>
    <w:rsid w:val="008F070A"/>
    <w:rsid w:val="008F4F3B"/>
    <w:rsid w:val="008F76DE"/>
    <w:rsid w:val="00901036"/>
    <w:rsid w:val="009076BA"/>
    <w:rsid w:val="00907DE8"/>
    <w:rsid w:val="00911F75"/>
    <w:rsid w:val="00912BA9"/>
    <w:rsid w:val="00920025"/>
    <w:rsid w:val="00924C05"/>
    <w:rsid w:val="00925913"/>
    <w:rsid w:val="00927200"/>
    <w:rsid w:val="00931F30"/>
    <w:rsid w:val="0093496F"/>
    <w:rsid w:val="00943360"/>
    <w:rsid w:val="0094563B"/>
    <w:rsid w:val="00953364"/>
    <w:rsid w:val="00963809"/>
    <w:rsid w:val="0097096A"/>
    <w:rsid w:val="009724B5"/>
    <w:rsid w:val="00974AC3"/>
    <w:rsid w:val="0097540D"/>
    <w:rsid w:val="00982D67"/>
    <w:rsid w:val="00983968"/>
    <w:rsid w:val="009947F0"/>
    <w:rsid w:val="009B1CF7"/>
    <w:rsid w:val="009B3D06"/>
    <w:rsid w:val="009B6A46"/>
    <w:rsid w:val="009B6C63"/>
    <w:rsid w:val="009B7076"/>
    <w:rsid w:val="009C31A6"/>
    <w:rsid w:val="009C3B8A"/>
    <w:rsid w:val="009D03CA"/>
    <w:rsid w:val="009D4F0E"/>
    <w:rsid w:val="009D5567"/>
    <w:rsid w:val="009D6BE4"/>
    <w:rsid w:val="009D7513"/>
    <w:rsid w:val="009E1AAE"/>
    <w:rsid w:val="009E2AF3"/>
    <w:rsid w:val="009E4A84"/>
    <w:rsid w:val="009F10F3"/>
    <w:rsid w:val="009F2CA1"/>
    <w:rsid w:val="009F2EC5"/>
    <w:rsid w:val="009F54CB"/>
    <w:rsid w:val="00A023BF"/>
    <w:rsid w:val="00A13053"/>
    <w:rsid w:val="00A1331B"/>
    <w:rsid w:val="00A1436E"/>
    <w:rsid w:val="00A156A3"/>
    <w:rsid w:val="00A22566"/>
    <w:rsid w:val="00A23C4E"/>
    <w:rsid w:val="00A263D1"/>
    <w:rsid w:val="00A26E23"/>
    <w:rsid w:val="00A3536E"/>
    <w:rsid w:val="00A37AF0"/>
    <w:rsid w:val="00A4133E"/>
    <w:rsid w:val="00A424EB"/>
    <w:rsid w:val="00A461F3"/>
    <w:rsid w:val="00A47821"/>
    <w:rsid w:val="00A47E72"/>
    <w:rsid w:val="00A60F3D"/>
    <w:rsid w:val="00A621B5"/>
    <w:rsid w:val="00A643D6"/>
    <w:rsid w:val="00A647FA"/>
    <w:rsid w:val="00A74DFE"/>
    <w:rsid w:val="00A74F93"/>
    <w:rsid w:val="00A76975"/>
    <w:rsid w:val="00A81F11"/>
    <w:rsid w:val="00A915C0"/>
    <w:rsid w:val="00A92492"/>
    <w:rsid w:val="00A92B1D"/>
    <w:rsid w:val="00A94E30"/>
    <w:rsid w:val="00AA0C63"/>
    <w:rsid w:val="00AA1E8E"/>
    <w:rsid w:val="00AA2848"/>
    <w:rsid w:val="00AB2113"/>
    <w:rsid w:val="00AB55A4"/>
    <w:rsid w:val="00AB56ED"/>
    <w:rsid w:val="00AB7752"/>
    <w:rsid w:val="00AC699C"/>
    <w:rsid w:val="00AD25CC"/>
    <w:rsid w:val="00AE2CB1"/>
    <w:rsid w:val="00AF1736"/>
    <w:rsid w:val="00AF399B"/>
    <w:rsid w:val="00AF3C03"/>
    <w:rsid w:val="00B0055D"/>
    <w:rsid w:val="00B00B3A"/>
    <w:rsid w:val="00B1165E"/>
    <w:rsid w:val="00B11C8C"/>
    <w:rsid w:val="00B14082"/>
    <w:rsid w:val="00B23123"/>
    <w:rsid w:val="00B249C0"/>
    <w:rsid w:val="00B30D65"/>
    <w:rsid w:val="00B325FC"/>
    <w:rsid w:val="00B40D27"/>
    <w:rsid w:val="00B41324"/>
    <w:rsid w:val="00B4711F"/>
    <w:rsid w:val="00B516A2"/>
    <w:rsid w:val="00B52244"/>
    <w:rsid w:val="00B56AD6"/>
    <w:rsid w:val="00B618AB"/>
    <w:rsid w:val="00B65BAB"/>
    <w:rsid w:val="00B67694"/>
    <w:rsid w:val="00B7046E"/>
    <w:rsid w:val="00B73E4A"/>
    <w:rsid w:val="00B770E2"/>
    <w:rsid w:val="00B81395"/>
    <w:rsid w:val="00B85329"/>
    <w:rsid w:val="00B870E8"/>
    <w:rsid w:val="00B90E30"/>
    <w:rsid w:val="00B96530"/>
    <w:rsid w:val="00B968D6"/>
    <w:rsid w:val="00B974A2"/>
    <w:rsid w:val="00BA3E05"/>
    <w:rsid w:val="00BB0ED4"/>
    <w:rsid w:val="00BB136D"/>
    <w:rsid w:val="00BC0B21"/>
    <w:rsid w:val="00BC172C"/>
    <w:rsid w:val="00BC19BA"/>
    <w:rsid w:val="00BC7EA3"/>
    <w:rsid w:val="00BD309D"/>
    <w:rsid w:val="00BD5BB0"/>
    <w:rsid w:val="00BD6CEA"/>
    <w:rsid w:val="00BD796E"/>
    <w:rsid w:val="00BE1723"/>
    <w:rsid w:val="00BE32A1"/>
    <w:rsid w:val="00BE5471"/>
    <w:rsid w:val="00BE61F1"/>
    <w:rsid w:val="00BF1D00"/>
    <w:rsid w:val="00BF2687"/>
    <w:rsid w:val="00BF46D6"/>
    <w:rsid w:val="00C036A5"/>
    <w:rsid w:val="00C03CB7"/>
    <w:rsid w:val="00C05D77"/>
    <w:rsid w:val="00C05FBC"/>
    <w:rsid w:val="00C12CA6"/>
    <w:rsid w:val="00C13771"/>
    <w:rsid w:val="00C1421E"/>
    <w:rsid w:val="00C15672"/>
    <w:rsid w:val="00C240F1"/>
    <w:rsid w:val="00C2444F"/>
    <w:rsid w:val="00C249D8"/>
    <w:rsid w:val="00C25772"/>
    <w:rsid w:val="00C35B7F"/>
    <w:rsid w:val="00C3757B"/>
    <w:rsid w:val="00C42057"/>
    <w:rsid w:val="00C512F4"/>
    <w:rsid w:val="00C55477"/>
    <w:rsid w:val="00C570D1"/>
    <w:rsid w:val="00C61077"/>
    <w:rsid w:val="00C616F7"/>
    <w:rsid w:val="00C6222E"/>
    <w:rsid w:val="00C62A6C"/>
    <w:rsid w:val="00C72BCD"/>
    <w:rsid w:val="00C80758"/>
    <w:rsid w:val="00C90DFB"/>
    <w:rsid w:val="00C93B6D"/>
    <w:rsid w:val="00C94047"/>
    <w:rsid w:val="00C95412"/>
    <w:rsid w:val="00C96CEB"/>
    <w:rsid w:val="00C97FED"/>
    <w:rsid w:val="00CA04AF"/>
    <w:rsid w:val="00CA697A"/>
    <w:rsid w:val="00CB147C"/>
    <w:rsid w:val="00CB1C31"/>
    <w:rsid w:val="00CB593E"/>
    <w:rsid w:val="00CD24E2"/>
    <w:rsid w:val="00CE023C"/>
    <w:rsid w:val="00CE0DA1"/>
    <w:rsid w:val="00CE48C1"/>
    <w:rsid w:val="00CE49F3"/>
    <w:rsid w:val="00CE5BB4"/>
    <w:rsid w:val="00CE7B85"/>
    <w:rsid w:val="00CF3173"/>
    <w:rsid w:val="00CF38EA"/>
    <w:rsid w:val="00CF4FDC"/>
    <w:rsid w:val="00CF6555"/>
    <w:rsid w:val="00D07504"/>
    <w:rsid w:val="00D079D1"/>
    <w:rsid w:val="00D07B1C"/>
    <w:rsid w:val="00D104B0"/>
    <w:rsid w:val="00D142DE"/>
    <w:rsid w:val="00D152BE"/>
    <w:rsid w:val="00D1713A"/>
    <w:rsid w:val="00D21239"/>
    <w:rsid w:val="00D21C29"/>
    <w:rsid w:val="00D2316A"/>
    <w:rsid w:val="00D26079"/>
    <w:rsid w:val="00D262C0"/>
    <w:rsid w:val="00D2657F"/>
    <w:rsid w:val="00D31FCF"/>
    <w:rsid w:val="00D34001"/>
    <w:rsid w:val="00D35819"/>
    <w:rsid w:val="00D35F09"/>
    <w:rsid w:val="00D44BF6"/>
    <w:rsid w:val="00D46582"/>
    <w:rsid w:val="00D51BC5"/>
    <w:rsid w:val="00D5494B"/>
    <w:rsid w:val="00D571A3"/>
    <w:rsid w:val="00D669EC"/>
    <w:rsid w:val="00D70B90"/>
    <w:rsid w:val="00D73310"/>
    <w:rsid w:val="00D76DA4"/>
    <w:rsid w:val="00D80219"/>
    <w:rsid w:val="00D8237C"/>
    <w:rsid w:val="00D86588"/>
    <w:rsid w:val="00D918C0"/>
    <w:rsid w:val="00D9457D"/>
    <w:rsid w:val="00DA3E36"/>
    <w:rsid w:val="00DA7E05"/>
    <w:rsid w:val="00DB0095"/>
    <w:rsid w:val="00DB2C74"/>
    <w:rsid w:val="00DB3675"/>
    <w:rsid w:val="00DB478B"/>
    <w:rsid w:val="00DB4901"/>
    <w:rsid w:val="00DD166B"/>
    <w:rsid w:val="00DD1D24"/>
    <w:rsid w:val="00DD42C8"/>
    <w:rsid w:val="00DD5BA7"/>
    <w:rsid w:val="00DD6606"/>
    <w:rsid w:val="00DE7E2B"/>
    <w:rsid w:val="00DF3ACA"/>
    <w:rsid w:val="00DF43BD"/>
    <w:rsid w:val="00DF5301"/>
    <w:rsid w:val="00DF65C7"/>
    <w:rsid w:val="00DF6663"/>
    <w:rsid w:val="00E0424C"/>
    <w:rsid w:val="00E252D6"/>
    <w:rsid w:val="00E25F72"/>
    <w:rsid w:val="00E40DD1"/>
    <w:rsid w:val="00E4355D"/>
    <w:rsid w:val="00E50D19"/>
    <w:rsid w:val="00E53D00"/>
    <w:rsid w:val="00E61BB6"/>
    <w:rsid w:val="00E6290A"/>
    <w:rsid w:val="00E74710"/>
    <w:rsid w:val="00E76B65"/>
    <w:rsid w:val="00E80E00"/>
    <w:rsid w:val="00E81D5C"/>
    <w:rsid w:val="00E8541B"/>
    <w:rsid w:val="00E86FEC"/>
    <w:rsid w:val="00E8779A"/>
    <w:rsid w:val="00E93DE0"/>
    <w:rsid w:val="00E94F56"/>
    <w:rsid w:val="00E9523E"/>
    <w:rsid w:val="00EA2F38"/>
    <w:rsid w:val="00EA7A15"/>
    <w:rsid w:val="00EB192F"/>
    <w:rsid w:val="00EB7D3F"/>
    <w:rsid w:val="00EC4067"/>
    <w:rsid w:val="00EC695C"/>
    <w:rsid w:val="00EC7CC3"/>
    <w:rsid w:val="00ED0CF5"/>
    <w:rsid w:val="00ED722A"/>
    <w:rsid w:val="00EE35C8"/>
    <w:rsid w:val="00EE76FD"/>
    <w:rsid w:val="00EF1449"/>
    <w:rsid w:val="00EF1AC5"/>
    <w:rsid w:val="00EF5BC0"/>
    <w:rsid w:val="00F12D4D"/>
    <w:rsid w:val="00F13CAC"/>
    <w:rsid w:val="00F1505B"/>
    <w:rsid w:val="00F156A5"/>
    <w:rsid w:val="00F201EC"/>
    <w:rsid w:val="00F21E8B"/>
    <w:rsid w:val="00F238A5"/>
    <w:rsid w:val="00F23EAA"/>
    <w:rsid w:val="00F2425E"/>
    <w:rsid w:val="00F2655E"/>
    <w:rsid w:val="00F308EE"/>
    <w:rsid w:val="00F30FB8"/>
    <w:rsid w:val="00F312EB"/>
    <w:rsid w:val="00F3251A"/>
    <w:rsid w:val="00F32740"/>
    <w:rsid w:val="00F32C19"/>
    <w:rsid w:val="00F34761"/>
    <w:rsid w:val="00F35BC6"/>
    <w:rsid w:val="00F35EF1"/>
    <w:rsid w:val="00F40866"/>
    <w:rsid w:val="00F41A92"/>
    <w:rsid w:val="00F42034"/>
    <w:rsid w:val="00F458F1"/>
    <w:rsid w:val="00F46F9E"/>
    <w:rsid w:val="00F53113"/>
    <w:rsid w:val="00F57235"/>
    <w:rsid w:val="00F70285"/>
    <w:rsid w:val="00F73039"/>
    <w:rsid w:val="00F73060"/>
    <w:rsid w:val="00F74884"/>
    <w:rsid w:val="00F843B0"/>
    <w:rsid w:val="00F8672D"/>
    <w:rsid w:val="00F8749D"/>
    <w:rsid w:val="00F91BC4"/>
    <w:rsid w:val="00F91DE2"/>
    <w:rsid w:val="00F92137"/>
    <w:rsid w:val="00F92442"/>
    <w:rsid w:val="00F93312"/>
    <w:rsid w:val="00F944B2"/>
    <w:rsid w:val="00FA403C"/>
    <w:rsid w:val="00FA618F"/>
    <w:rsid w:val="00FA76C1"/>
    <w:rsid w:val="00FB193E"/>
    <w:rsid w:val="00FB768B"/>
    <w:rsid w:val="00FC1744"/>
    <w:rsid w:val="00FE19F4"/>
    <w:rsid w:val="00FE7AE5"/>
    <w:rsid w:val="00FF162E"/>
    <w:rsid w:val="00FF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E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6E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6E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1C29"/>
    <w:rPr>
      <w:rFonts w:ascii="Tahoma" w:hAnsi="Tahoma" w:cs="Tahoma"/>
      <w:sz w:val="16"/>
      <w:szCs w:val="16"/>
    </w:rPr>
  </w:style>
  <w:style w:type="character" w:customStyle="1" w:styleId="ssens">
    <w:name w:val="ssens"/>
    <w:basedOn w:val="DefaultParagraphFont"/>
    <w:rsid w:val="00480E43"/>
  </w:style>
  <w:style w:type="paragraph" w:styleId="ListParagraph">
    <w:name w:val="List Paragraph"/>
    <w:basedOn w:val="Normal"/>
    <w:uiPriority w:val="34"/>
    <w:qFormat/>
    <w:rsid w:val="00B249C0"/>
    <w:pPr>
      <w:ind w:left="720"/>
      <w:contextualSpacing/>
    </w:pPr>
  </w:style>
  <w:style w:type="table" w:styleId="TableGrid">
    <w:name w:val="Table Grid"/>
    <w:basedOn w:val="TableNormal"/>
    <w:uiPriority w:val="59"/>
    <w:rsid w:val="00D571A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E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6E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6E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1C29"/>
    <w:rPr>
      <w:rFonts w:ascii="Tahoma" w:hAnsi="Tahoma" w:cs="Tahoma"/>
      <w:sz w:val="16"/>
      <w:szCs w:val="16"/>
    </w:rPr>
  </w:style>
  <w:style w:type="character" w:customStyle="1" w:styleId="ssens">
    <w:name w:val="ssens"/>
    <w:basedOn w:val="DefaultParagraphFont"/>
    <w:rsid w:val="00480E43"/>
  </w:style>
  <w:style w:type="paragraph" w:styleId="ListParagraph">
    <w:name w:val="List Paragraph"/>
    <w:basedOn w:val="Normal"/>
    <w:uiPriority w:val="34"/>
    <w:qFormat/>
    <w:rsid w:val="00B24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9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9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2677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5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1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8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68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77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82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095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894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RAPPAHANNOCK RAPIDAN ELDERCARE</vt:lpstr>
    </vt:vector>
  </TitlesOfParts>
  <Company>RRCSB-AAA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RAPPAHANNOCK RAPIDAN ELDERCARE</dc:title>
  <dc:creator>UTag4905</dc:creator>
  <cp:lastModifiedBy>Admin</cp:lastModifiedBy>
  <cp:revision>2</cp:revision>
  <cp:lastPrinted>2014-02-05T18:27:00Z</cp:lastPrinted>
  <dcterms:created xsi:type="dcterms:W3CDTF">2014-02-05T18:44:00Z</dcterms:created>
  <dcterms:modified xsi:type="dcterms:W3CDTF">2014-02-05T18:44:00Z</dcterms:modified>
</cp:coreProperties>
</file>